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DEB" w:rsidRDefault="00F94DEB" w:rsidP="00F94DEB">
      <w:pPr>
        <w:rPr>
          <w:b/>
        </w:rPr>
      </w:pPr>
      <w:r>
        <w:rPr>
          <w:b/>
        </w:rPr>
        <w:t>ACTIVITY 1: ANALYZING VIDEO CASES</w:t>
      </w:r>
    </w:p>
    <w:p w:rsidR="00F94DEB" w:rsidRDefault="00F94DEB" w:rsidP="00F94DEB">
      <w:pPr>
        <w:rPr>
          <w:b/>
        </w:rPr>
      </w:pPr>
    </w:p>
    <w:p w:rsidR="00F94DEB" w:rsidRDefault="00F94DEB" w:rsidP="00F94DEB">
      <w:pPr>
        <w:rPr>
          <w:b/>
          <w:u w:val="single"/>
        </w:rPr>
      </w:pPr>
      <w:r>
        <w:rPr>
          <w:b/>
          <w:u w:val="single"/>
        </w:rPr>
        <w:t xml:space="preserve">Goals and Description of Analyzing Video Cases </w:t>
      </w:r>
    </w:p>
    <w:p w:rsidR="00F94DEB" w:rsidRDefault="00F94DEB" w:rsidP="00F94DEB">
      <w:pPr>
        <w:rPr>
          <w:b/>
        </w:rPr>
      </w:pPr>
    </w:p>
    <w:p w:rsidR="00F94DEB" w:rsidRDefault="00F94DEB" w:rsidP="00F94DEB">
      <w:pPr>
        <w:rPr>
          <w:b/>
        </w:rPr>
      </w:pPr>
      <w:r>
        <w:rPr>
          <w:b/>
        </w:rPr>
        <w:t>GOALS</w:t>
      </w:r>
      <w:r w:rsidRPr="000D5537">
        <w:rPr>
          <w:b/>
        </w:rPr>
        <w:t xml:space="preserve"> for </w:t>
      </w:r>
      <w:r>
        <w:rPr>
          <w:b/>
        </w:rPr>
        <w:t xml:space="preserve">Analyzing Video Cases: </w:t>
      </w:r>
    </w:p>
    <w:p w:rsidR="00F94DEB" w:rsidRPr="000D5537" w:rsidRDefault="00F94DEB" w:rsidP="00F94DEB">
      <w:r>
        <w:t>The goal of this activity, ideally repeated multiple times across the semester, is for PSTs to begin to see mathematics classrooms in more detail, suspend everyday interpretation, and learn to look for patterns that otherwise may go unnoticed at a conscious level. A more specific goal is for PSTs to begin to identify and analyze aspects of mathematics teaching and learning reflective of eliciting and building on children’s MMKB.</w:t>
      </w:r>
    </w:p>
    <w:p w:rsidR="00F94DEB" w:rsidRDefault="00F94DEB" w:rsidP="00F94DEB">
      <w:pPr>
        <w:rPr>
          <w:b/>
        </w:rPr>
      </w:pPr>
    </w:p>
    <w:p w:rsidR="00F94DEB" w:rsidRDefault="00F94DEB" w:rsidP="00F94DEB">
      <w:pPr>
        <w:rPr>
          <w:b/>
        </w:rPr>
      </w:pPr>
      <w:r>
        <w:rPr>
          <w:b/>
        </w:rPr>
        <w:t>DESCRIPTION of Analyzing Video Cases:</w:t>
      </w:r>
    </w:p>
    <w:p w:rsidR="00F94DEB" w:rsidRDefault="00F94DEB" w:rsidP="00F94DEB">
      <w:r>
        <w:t xml:space="preserve">PSTs analyze multiple video cases attending to specific foci – the teaching, student learning, the task, and power and participation patterns. Typically, our first video case has been the </w:t>
      </w:r>
      <w:r w:rsidRPr="0077393E">
        <w:rPr>
          <w:i/>
        </w:rPr>
        <w:t>Marshmallow</w:t>
      </w:r>
      <w:r>
        <w:t xml:space="preserve"> video case (Annenberg Foundation, 2013). This first enactment of the video case activity happens relatively early in the semester – often during the first or second class of the course. Other video cases are selected by the methods instructors based on course needs. One recommendation is for the final video case to be an analysis of the </w:t>
      </w:r>
      <w:r w:rsidRPr="0077393E">
        <w:rPr>
          <w:i/>
        </w:rPr>
        <w:t>Questioning Data</w:t>
      </w:r>
      <w:r w:rsidRPr="003C4D21">
        <w:t xml:space="preserve"> </w:t>
      </w:r>
      <w:r>
        <w:t xml:space="preserve">video (Annenberg Foundation, 2013). Another nice option is to revisit the Marshmallow video again at the end of the semester. Analyzing video cases from different lenses allows PSTs to begin to see what it might mean to elicit and build on children’s MMKB in instruction and supports PSTs in moving away from only looking at teaching to consider mathematics teaching and learning issues such as the role of the task, student learning, and power and participation patterns. </w:t>
      </w:r>
    </w:p>
    <w:p w:rsidR="00F94DEB" w:rsidRDefault="00F94DEB" w:rsidP="00F94DEB"/>
    <w:p w:rsidR="00F94DEB" w:rsidRDefault="00F94DEB" w:rsidP="00F94DEB">
      <w:r>
        <w:rPr>
          <w:b/>
        </w:rPr>
        <w:t xml:space="preserve">Possible Video Cases </w:t>
      </w:r>
    </w:p>
    <w:p w:rsidR="00F94DEB" w:rsidRDefault="00F94DEB" w:rsidP="00F94DEB">
      <w:r>
        <w:t>The following list of video cases, arranged by grade level and then alphabetically within grade levels by the title of the video, are described in more detail in</w:t>
      </w:r>
      <w:r>
        <w:rPr>
          <w:i/>
        </w:rPr>
        <w:t xml:space="preserve"> Video Case Descriptions</w:t>
      </w:r>
      <w:r>
        <w:t xml:space="preserve"> handout (Handout CP 8). </w:t>
      </w:r>
    </w:p>
    <w:p w:rsidR="00F94DEB" w:rsidRDefault="00F94DEB" w:rsidP="00F94DEB">
      <w:pPr>
        <w:pStyle w:val="ListParagraph"/>
        <w:numPr>
          <w:ilvl w:val="0"/>
          <w:numId w:val="7"/>
        </w:numPr>
      </w:pPr>
      <w:r>
        <w:t>People Patterns (Annenberg)</w:t>
      </w:r>
    </w:p>
    <w:p w:rsidR="00F94DEB" w:rsidRDefault="00F94DEB" w:rsidP="00F94DEB">
      <w:pPr>
        <w:pStyle w:val="ListParagraph"/>
        <w:numPr>
          <w:ilvl w:val="0"/>
          <w:numId w:val="7"/>
        </w:numPr>
      </w:pPr>
      <w:r>
        <w:t>Lady Bugs (Annenberg)</w:t>
      </w:r>
    </w:p>
    <w:p w:rsidR="00F94DEB" w:rsidRDefault="00F94DEB" w:rsidP="00F94DEB">
      <w:pPr>
        <w:pStyle w:val="ListParagraph"/>
        <w:numPr>
          <w:ilvl w:val="0"/>
          <w:numId w:val="7"/>
        </w:numPr>
      </w:pPr>
      <w:r>
        <w:t>Amazing Equations (Annenberg)</w:t>
      </w:r>
    </w:p>
    <w:p w:rsidR="00F94DEB" w:rsidRDefault="00F94DEB" w:rsidP="00F94DEB">
      <w:pPr>
        <w:pStyle w:val="ListParagraph"/>
        <w:numPr>
          <w:ilvl w:val="0"/>
          <w:numId w:val="7"/>
        </w:numPr>
      </w:pPr>
      <w:r>
        <w:t>Get to 100 (Storeygard, 2009)</w:t>
      </w:r>
    </w:p>
    <w:p w:rsidR="00F94DEB" w:rsidRDefault="00F94DEB" w:rsidP="00F94DEB">
      <w:pPr>
        <w:pStyle w:val="ListParagraph"/>
        <w:numPr>
          <w:ilvl w:val="0"/>
          <w:numId w:val="7"/>
        </w:numPr>
      </w:pPr>
      <w:r>
        <w:t>Marshmallows (Annenberg)</w:t>
      </w:r>
    </w:p>
    <w:p w:rsidR="00F94DEB" w:rsidRDefault="00F94DEB" w:rsidP="00F94DEB">
      <w:pPr>
        <w:pStyle w:val="ListParagraph"/>
        <w:numPr>
          <w:ilvl w:val="0"/>
          <w:numId w:val="7"/>
        </w:numPr>
      </w:pPr>
      <w:r>
        <w:t>Buying and Cooking a Turkey (Fosnot &amp; Dolk, 2001)</w:t>
      </w:r>
    </w:p>
    <w:p w:rsidR="00F94DEB" w:rsidRDefault="00F94DEB" w:rsidP="00F94DEB">
      <w:pPr>
        <w:pStyle w:val="ListParagraph"/>
        <w:numPr>
          <w:ilvl w:val="0"/>
          <w:numId w:val="7"/>
        </w:numPr>
      </w:pPr>
      <w:r>
        <w:t>Multiplication (Schifter, Bastable, &amp; Russell, 2009)</w:t>
      </w:r>
    </w:p>
    <w:p w:rsidR="00F94DEB" w:rsidRDefault="00F94DEB" w:rsidP="00F94DEB">
      <w:pPr>
        <w:pStyle w:val="ListParagraph"/>
        <w:numPr>
          <w:ilvl w:val="0"/>
          <w:numId w:val="7"/>
        </w:numPr>
      </w:pPr>
      <w:r>
        <w:t>Developing Children’s Conceptions of Equality (Carpenter, Franke &amp; Levi, 2003)</w:t>
      </w:r>
    </w:p>
    <w:p w:rsidR="00F94DEB" w:rsidRDefault="00F94DEB" w:rsidP="00F94DEB">
      <w:pPr>
        <w:pStyle w:val="ListParagraph"/>
        <w:numPr>
          <w:ilvl w:val="0"/>
          <w:numId w:val="7"/>
        </w:numPr>
      </w:pPr>
      <w:r>
        <w:t>Pencil Box Staining (Annenberg)</w:t>
      </w:r>
    </w:p>
    <w:p w:rsidR="00F94DEB" w:rsidRDefault="00F94DEB" w:rsidP="00F94DEB">
      <w:pPr>
        <w:numPr>
          <w:ilvl w:val="0"/>
          <w:numId w:val="1"/>
        </w:numPr>
      </w:pPr>
      <w:r>
        <w:t>Valentine Exchange (Annenberg)</w:t>
      </w:r>
    </w:p>
    <w:p w:rsidR="00F94DEB" w:rsidRDefault="00F94DEB" w:rsidP="00F94DEB">
      <w:pPr>
        <w:numPr>
          <w:ilvl w:val="0"/>
          <w:numId w:val="1"/>
        </w:numPr>
      </w:pPr>
      <w:r>
        <w:t>Sharing a Submarine Sandwich (Fosnot &amp; Dolk, 2002)</w:t>
      </w:r>
    </w:p>
    <w:p w:rsidR="00F94DEB" w:rsidRDefault="00F94DEB" w:rsidP="00F94DEB">
      <w:pPr>
        <w:numPr>
          <w:ilvl w:val="0"/>
          <w:numId w:val="1"/>
        </w:numPr>
      </w:pPr>
      <w:r>
        <w:t>Fraction Tracks (Annenberg)</w:t>
      </w:r>
    </w:p>
    <w:p w:rsidR="00F94DEB" w:rsidRDefault="00F94DEB" w:rsidP="00F94DEB">
      <w:pPr>
        <w:numPr>
          <w:ilvl w:val="0"/>
          <w:numId w:val="1"/>
        </w:numPr>
      </w:pPr>
      <w:r>
        <w:t>Questioning Data (Annenberg)</w:t>
      </w:r>
    </w:p>
    <w:p w:rsidR="00F94DEB" w:rsidRDefault="00F94DEB" w:rsidP="00F94DEB"/>
    <w:p w:rsidR="00F94DEB" w:rsidRPr="006B46D1" w:rsidRDefault="00F94DEB" w:rsidP="00F94DEB">
      <w:pPr>
        <w:rPr>
          <w:b/>
          <w:u w:val="single"/>
        </w:rPr>
      </w:pPr>
      <w:bookmarkStart w:id="0" w:name="_GoBack"/>
      <w:bookmarkEnd w:id="0"/>
      <w:r>
        <w:rPr>
          <w:b/>
          <w:u w:val="single"/>
        </w:rPr>
        <w:t xml:space="preserve">Lesson Outline for Analyzing Video Cases </w:t>
      </w:r>
    </w:p>
    <w:p w:rsidR="00F94DEB" w:rsidRDefault="00F94DEB" w:rsidP="00F94DEB">
      <w:pPr>
        <w:rPr>
          <w:b/>
        </w:rPr>
      </w:pPr>
    </w:p>
    <w:p w:rsidR="00F94DEB" w:rsidRDefault="00F94DEB" w:rsidP="00F94DEB">
      <w:pPr>
        <w:rPr>
          <w:b/>
        </w:rPr>
      </w:pPr>
      <w:r>
        <w:rPr>
          <w:b/>
        </w:rPr>
        <w:t>LAUNCH (for the first enactment of the activity – Introduction to Video Lenses)</w:t>
      </w:r>
    </w:p>
    <w:p w:rsidR="00F94DEB" w:rsidRDefault="00F94DEB" w:rsidP="00F94DEB">
      <w:r>
        <w:t xml:space="preserve">The </w:t>
      </w:r>
      <w:r>
        <w:rPr>
          <w:b/>
        </w:rPr>
        <w:t xml:space="preserve">launch </w:t>
      </w:r>
      <w:r>
        <w:t xml:space="preserve">for this activity consists of two components: (a) a brief overview by the instructor about the video case analysis that will be occurring over time in the course and (b) a quick examination of a central question from each of the four lenses. </w:t>
      </w:r>
    </w:p>
    <w:p w:rsidR="00F94DEB" w:rsidRDefault="00F94DEB" w:rsidP="00F94DEB">
      <w:pPr>
        <w:ind w:firstLine="720"/>
      </w:pPr>
      <w:r>
        <w:rPr>
          <w:i/>
        </w:rPr>
        <w:t>Instructor Overview</w:t>
      </w:r>
    </w:p>
    <w:p w:rsidR="00F94DEB" w:rsidRDefault="00F94DEB" w:rsidP="00F94DEB">
      <w:pPr>
        <w:ind w:left="720"/>
      </w:pPr>
      <w:r>
        <w:t xml:space="preserve">PSTs are informed that they will be examining mathematics teaching and learning from four perspectives – teaching, learning, task and power &amp; participation – over time in the course. </w:t>
      </w:r>
    </w:p>
    <w:p w:rsidR="00F94DEB" w:rsidRDefault="00F94DEB" w:rsidP="00F94DEB">
      <w:pPr>
        <w:ind w:firstLine="720"/>
      </w:pPr>
      <w:r>
        <w:rPr>
          <w:i/>
        </w:rPr>
        <w:t>Introduction to Video Case Analysis</w:t>
      </w:r>
    </w:p>
    <w:p w:rsidR="00F94DEB" w:rsidRDefault="00F94DEB" w:rsidP="00F94DEB">
      <w:pPr>
        <w:numPr>
          <w:ilvl w:val="0"/>
          <w:numId w:val="2"/>
        </w:numPr>
      </w:pPr>
      <w:r>
        <w:t xml:space="preserve">Ask PSTs in class to spend time reviewing each of the four questions on the </w:t>
      </w:r>
      <w:r>
        <w:rPr>
          <w:i/>
        </w:rPr>
        <w:t xml:space="preserve">Introducing the Lenses </w:t>
      </w:r>
      <w:r>
        <w:t xml:space="preserve">handout (Handout CP 1). Note: This introductory activity generally occurs early in the semester. As such, we suggest you direct PSTs’ attention to the four questions from each lens, rather than the center question, which you might note to PSTs you’ll return to later or you might omit completely for this introductory activity. We also encourage reviewing general guidelines for viewing and discussing video cases with the </w:t>
      </w:r>
      <w:r>
        <w:rPr>
          <w:i/>
        </w:rPr>
        <w:t>Guidelines for Discussing Video Cases</w:t>
      </w:r>
      <w:r>
        <w:t xml:space="preserve"> handout (Handout CP 2).</w:t>
      </w:r>
    </w:p>
    <w:p w:rsidR="00F94DEB" w:rsidRDefault="00F94DEB" w:rsidP="00F94DEB">
      <w:pPr>
        <w:numPr>
          <w:ilvl w:val="0"/>
          <w:numId w:val="2"/>
        </w:numPr>
      </w:pPr>
      <w:r>
        <w:t xml:space="preserve">Provide PSTs a specific focus question from the </w:t>
      </w:r>
      <w:r>
        <w:rPr>
          <w:i/>
        </w:rPr>
        <w:t>Introducing the Lenses</w:t>
      </w:r>
      <w:r>
        <w:t xml:space="preserve"> handout for the viewing of the first video case. Below are some suggestions for ways to distribute the focus questions across and within small groups:</w:t>
      </w:r>
    </w:p>
    <w:p w:rsidR="00F94DEB" w:rsidRDefault="00F94DEB" w:rsidP="00F94DEB">
      <w:pPr>
        <w:ind w:left="1080"/>
      </w:pPr>
      <w:r w:rsidRPr="00BE1AA7">
        <w:rPr>
          <w:i/>
        </w:rPr>
        <w:t>Option A</w:t>
      </w:r>
      <w:r>
        <w:t>: Assign each small group a separate lens question.</w:t>
      </w:r>
    </w:p>
    <w:p w:rsidR="00F94DEB" w:rsidRDefault="00F94DEB" w:rsidP="00F94DEB">
      <w:pPr>
        <w:ind w:left="1080"/>
      </w:pPr>
      <w:r w:rsidRPr="00BE1AA7">
        <w:rPr>
          <w:i/>
        </w:rPr>
        <w:t>Option B:</w:t>
      </w:r>
      <w:r>
        <w:t xml:space="preserve"> Assign each small group all four lens questions, but have individual students in each group responsible for a separate lens question. </w:t>
      </w:r>
    </w:p>
    <w:p w:rsidR="00F94DEB" w:rsidRDefault="00F94DEB" w:rsidP="00F94DEB">
      <w:pPr>
        <w:rPr>
          <w:b/>
        </w:rPr>
      </w:pPr>
    </w:p>
    <w:p w:rsidR="00F94DEB" w:rsidRDefault="00F94DEB" w:rsidP="00F94DEB">
      <w:pPr>
        <w:rPr>
          <w:b/>
        </w:rPr>
      </w:pPr>
      <w:r>
        <w:rPr>
          <w:b/>
        </w:rPr>
        <w:t>EXPLORE (for the first enactment of the activity)</w:t>
      </w:r>
    </w:p>
    <w:p w:rsidR="00F94DEB" w:rsidRPr="00390CAB" w:rsidRDefault="00F94DEB" w:rsidP="00F94DEB">
      <w:r>
        <w:t xml:space="preserve">The </w:t>
      </w:r>
      <w:r>
        <w:rPr>
          <w:b/>
        </w:rPr>
        <w:t>explore</w:t>
      </w:r>
      <w:r>
        <w:t xml:space="preserve"> phase of Activity 1’s Introductory Activity consists of PSTs viewing Annenberg’s </w:t>
      </w:r>
      <w:r w:rsidRPr="009B29C2">
        <w:rPr>
          <w:i/>
        </w:rPr>
        <w:t>Marshmallow</w:t>
      </w:r>
      <w:r>
        <w:t xml:space="preserve"> video using their assigned focus question(s), followed by small and whole class discussion.</w:t>
      </w:r>
    </w:p>
    <w:p w:rsidR="00F94DEB" w:rsidRDefault="00F94DEB" w:rsidP="00F94DEB">
      <w:pPr>
        <w:ind w:left="720"/>
      </w:pPr>
      <w:r>
        <w:rPr>
          <w:i/>
        </w:rPr>
        <w:t>Analysis of Marshmallow Video</w:t>
      </w:r>
    </w:p>
    <w:p w:rsidR="00F94DEB" w:rsidRDefault="00F94DEB" w:rsidP="00F94DEB">
      <w:pPr>
        <w:ind w:left="720"/>
      </w:pPr>
      <w:r>
        <w:t xml:space="preserve">Watch the Marshmallow Video with PSTs viewing from the perspective of their assigned lens(es). After viewing the video, give PSTs a moment to jot down notes about what they noticed in the video based on their lens(es). Have PSTs engage in discussion in their small groups about their responses to their prompts, and support PSTs in grounding their claims using evidence from the video. </w:t>
      </w:r>
    </w:p>
    <w:p w:rsidR="00F94DEB" w:rsidRDefault="00F94DEB" w:rsidP="00F94DEB">
      <w:pPr>
        <w:ind w:left="720"/>
      </w:pPr>
    </w:p>
    <w:p w:rsidR="00F94DEB" w:rsidRDefault="00F94DEB" w:rsidP="00F94DEB">
      <w:pPr>
        <w:rPr>
          <w:b/>
        </w:rPr>
      </w:pPr>
      <w:r>
        <w:rPr>
          <w:b/>
        </w:rPr>
        <w:t>SUMMARIZE (for the first enactment of the activity)</w:t>
      </w:r>
    </w:p>
    <w:p w:rsidR="00F94DEB" w:rsidRDefault="00F94DEB" w:rsidP="00F94DEB">
      <w:r>
        <w:t xml:space="preserve">To </w:t>
      </w:r>
      <w:r>
        <w:rPr>
          <w:b/>
        </w:rPr>
        <w:t>summarize</w:t>
      </w:r>
      <w:r>
        <w:t xml:space="preserve"> the lesson, engage in a whole group discussion. One goal of this discussion is to help PSTs begin to understand the nature of the four lenses and distinctions between them. Discussion questions might include:</w:t>
      </w:r>
    </w:p>
    <w:p w:rsidR="00F94DEB" w:rsidRDefault="00F94DEB" w:rsidP="00F94DEB">
      <w:pPr>
        <w:numPr>
          <w:ilvl w:val="0"/>
          <w:numId w:val="3"/>
        </w:numPr>
      </w:pPr>
      <w:r>
        <w:t xml:space="preserve">What is the evidence in the video you have for that claim? </w:t>
      </w:r>
    </w:p>
    <w:p w:rsidR="00F94DEB" w:rsidRDefault="00F94DEB" w:rsidP="00F94DEB">
      <w:pPr>
        <w:numPr>
          <w:ilvl w:val="0"/>
          <w:numId w:val="3"/>
        </w:numPr>
      </w:pPr>
      <w:r>
        <w:t xml:space="preserve">In what ways are our claims about teaching (teaching lens asks about ways teacher elicits and responds to student thinking) different from claims from the learning perspective (what math understandings or confusions are indicated in students’ work)? What might our evidence from the video consist of for each of these areas? </w:t>
      </w:r>
    </w:p>
    <w:p w:rsidR="00F94DEB" w:rsidRPr="00682F66" w:rsidRDefault="00F94DEB" w:rsidP="00F94DEB">
      <w:pPr>
        <w:rPr>
          <w:b/>
        </w:rPr>
      </w:pPr>
    </w:p>
    <w:p w:rsidR="00F94DEB" w:rsidRPr="0058173D" w:rsidRDefault="00F94DEB" w:rsidP="00F94DEB">
      <w:pPr>
        <w:rPr>
          <w:b/>
        </w:rPr>
      </w:pPr>
      <w:r>
        <w:rPr>
          <w:b/>
        </w:rPr>
        <w:t>LAUNCH (for subsequent enactments of the activity)</w:t>
      </w:r>
    </w:p>
    <w:p w:rsidR="00F94DEB" w:rsidRDefault="00F94DEB" w:rsidP="00F94DEB">
      <w:pPr>
        <w:ind w:left="720"/>
      </w:pPr>
      <w:r>
        <w:t xml:space="preserve">The </w:t>
      </w:r>
      <w:r>
        <w:rPr>
          <w:b/>
        </w:rPr>
        <w:t>launch</w:t>
      </w:r>
      <w:r>
        <w:t xml:space="preserve"> for this activity consists of PSTs taking time to review the lenses that will be the focus of the enactment. (Handouts CP 3 - CP 6). This might be initially done outside of class with a follow-up review in class, or entirely in class. </w:t>
      </w:r>
    </w:p>
    <w:p w:rsidR="00F94DEB" w:rsidRDefault="00F94DEB" w:rsidP="00F94DEB">
      <w:pPr>
        <w:ind w:left="1080"/>
      </w:pPr>
      <w:r>
        <w:rPr>
          <w:i/>
        </w:rPr>
        <w:t>Assigning Lenses</w:t>
      </w:r>
      <w:r>
        <w:t xml:space="preserve">: For Video #2, have your class focus on two of the lenses (e.g., learning and teaching). For Video #3, have your class focus on the other two lenses (e.g., task and power &amp; participation). Focusing on two lenses at a time allows for a discussion and understanding of how the lenses focus attention on different aspects of instruction, as well as how the lenses interact. For Video #4 (recommended: </w:t>
      </w:r>
      <w:r w:rsidRPr="009B29C2">
        <w:rPr>
          <w:i/>
        </w:rPr>
        <w:t>Questioning Data</w:t>
      </w:r>
      <w:r>
        <w:t xml:space="preserve"> or </w:t>
      </w:r>
      <w:r w:rsidRPr="009B29C2">
        <w:rPr>
          <w:i/>
        </w:rPr>
        <w:t>Marshmallow</w:t>
      </w:r>
      <w:r>
        <w:t xml:space="preserve"> video for 2</w:t>
      </w:r>
      <w:r w:rsidRPr="00A27BCE">
        <w:rPr>
          <w:vertAlign w:val="superscript"/>
        </w:rPr>
        <w:t>nd</w:t>
      </w:r>
      <w:r>
        <w:t xml:space="preserve"> time) consider repeating two lenses you most want to focus with in your class, or consider using all four lenses. If using all four lenses, instructors could again choose to use the introductory activity handout that has just one prompt from each lens. Below are some suggestions for ways to distribute the focus questions across and within small groups:</w:t>
      </w:r>
    </w:p>
    <w:p w:rsidR="00F94DEB" w:rsidRDefault="00F94DEB" w:rsidP="00F94DEB">
      <w:pPr>
        <w:ind w:left="1440"/>
      </w:pPr>
      <w:r w:rsidRPr="00BE1AA7">
        <w:rPr>
          <w:i/>
        </w:rPr>
        <w:t>Option A</w:t>
      </w:r>
      <w:r>
        <w:t xml:space="preserve">: Assign each table a lens. Next, assign each student at each table a particular prompt within the lens. Once lens prompts are assigned, ask students to think about their question, review the other questions, and think about how their specific prompt is similar or different from the others. One question on each lens goes to the “resources/ knowledge bases” component and is the same for each lens. Instructors might consider assigning one student to this question or assigning all students to this question (in addition to their individual prompt). </w:t>
      </w:r>
    </w:p>
    <w:p w:rsidR="00F94DEB" w:rsidRDefault="00F94DEB" w:rsidP="00F94DEB">
      <w:pPr>
        <w:ind w:left="1440"/>
      </w:pPr>
      <w:r w:rsidRPr="009B29C2">
        <w:rPr>
          <w:i/>
        </w:rPr>
        <w:t>Option B</w:t>
      </w:r>
      <w:r>
        <w:t>: Each small group focuses on one lens in its entirety. Assign each table a lens. Ask students to read through all of the questions for their lens.</w:t>
      </w:r>
    </w:p>
    <w:p w:rsidR="00F94DEB" w:rsidRDefault="00F94DEB" w:rsidP="00F94DEB">
      <w:pPr>
        <w:rPr>
          <w:b/>
          <w:u w:val="single"/>
        </w:rPr>
      </w:pPr>
    </w:p>
    <w:p w:rsidR="00F94DEB" w:rsidRDefault="00F94DEB" w:rsidP="00F94DEB">
      <w:pPr>
        <w:rPr>
          <w:b/>
        </w:rPr>
      </w:pPr>
      <w:r>
        <w:rPr>
          <w:b/>
        </w:rPr>
        <w:t>EXPLORE (for subsequent enactments of the activity)</w:t>
      </w:r>
    </w:p>
    <w:p w:rsidR="00F94DEB" w:rsidRDefault="00F94DEB" w:rsidP="00F94DEB">
      <w:r>
        <w:t xml:space="preserve">The </w:t>
      </w:r>
      <w:r>
        <w:rPr>
          <w:b/>
        </w:rPr>
        <w:t>explore</w:t>
      </w:r>
      <w:r>
        <w:t xml:space="preserve"> phase of this lesson consists of PSTs watching the video from the perspective of their assigned lens/prompt and discussing their analyses. Recall that for Video #2 and Video #3 we recommend focusing on only two lenses at a time as a class. Another option to consider is having students watch a video multiple times on their own before class so that they are familiar with the context before being assigned a particular lens.</w:t>
      </w:r>
    </w:p>
    <w:p w:rsidR="00F94DEB" w:rsidRDefault="00F94DEB" w:rsidP="00F94DEB">
      <w:pPr>
        <w:ind w:left="720"/>
      </w:pPr>
      <w:r w:rsidRPr="00085C81">
        <w:rPr>
          <w:i/>
        </w:rPr>
        <w:t>Small group discussion:</w:t>
      </w:r>
      <w:r>
        <w:t xml:space="preserve"> After watching the video, have each student take a moment to jot down notes for their lens/prompt. Then, have each table spend some time discussing their thoughts for their particular lens/prompt in their small group. Encourage students to focus on grounding their comments in evidence from the video. Each small group will create a poster or set of notes to </w:t>
      </w:r>
      <w:r w:rsidRPr="00987AA9">
        <w:rPr>
          <w:u w:val="single"/>
        </w:rPr>
        <w:t>summarize their findings</w:t>
      </w:r>
      <w:r>
        <w:t>. They should be careful to ground their claims using evidence from the video. They should include on their poster or notes a short list of questions or unresolved issues their group faced. They should prepare to share their findings with the whole class. Note: Often the posters are bulleted lists identical to what PSTs have already written on their notes pages. Some suggested options that might help avoid this repetition are suggested below (this is not an exhaustive list):</w:t>
      </w:r>
    </w:p>
    <w:p w:rsidR="00F94DEB" w:rsidRDefault="00F94DEB" w:rsidP="00F94DEB">
      <w:pPr>
        <w:numPr>
          <w:ilvl w:val="0"/>
          <w:numId w:val="4"/>
        </w:numPr>
      </w:pPr>
      <w:r>
        <w:t xml:space="preserve">Encourage PSTs to create a poster that consists of pictures and/or words. </w:t>
      </w:r>
    </w:p>
    <w:p w:rsidR="00F94DEB" w:rsidRPr="002C7B87" w:rsidRDefault="00F94DEB" w:rsidP="00F94DEB">
      <w:pPr>
        <w:numPr>
          <w:ilvl w:val="0"/>
          <w:numId w:val="4"/>
        </w:numPr>
      </w:pPr>
      <w:r>
        <w:t xml:space="preserve">Explicitly tell PSTs that you do NOT want the poster to be identical to the lists on their notes pages. Encourage them to choose one major point to highlight and explain why that was important. Encourage students to include with this major point a question they have or an unresolved issue their group faced. </w:t>
      </w:r>
    </w:p>
    <w:p w:rsidR="00F94DEB" w:rsidRPr="003F466E" w:rsidRDefault="00F94DEB" w:rsidP="00F94DEB">
      <w:pPr>
        <w:rPr>
          <w:b/>
        </w:rPr>
      </w:pPr>
    </w:p>
    <w:p w:rsidR="00F94DEB" w:rsidRDefault="00F94DEB" w:rsidP="00F94DEB">
      <w:pPr>
        <w:rPr>
          <w:b/>
        </w:rPr>
      </w:pPr>
      <w:r>
        <w:rPr>
          <w:b/>
        </w:rPr>
        <w:t>SUMMARIZE (for subsequent enactments of the activity)</w:t>
      </w:r>
    </w:p>
    <w:p w:rsidR="00F94DEB" w:rsidRDefault="00F94DEB" w:rsidP="00F94DEB">
      <w:r>
        <w:t>To summarize, discuss the two lenses as a whole group in depth. Focus on how the lenses allow you to notice different things. After some discussion, facilitate a summary discussion using some or all of the following prompts:</w:t>
      </w:r>
    </w:p>
    <w:p w:rsidR="00F94DEB" w:rsidRDefault="00F94DEB" w:rsidP="00F94DEB">
      <w:pPr>
        <w:numPr>
          <w:ilvl w:val="0"/>
          <w:numId w:val="5"/>
        </w:numPr>
        <w:rPr>
          <w:b/>
        </w:rPr>
      </w:pPr>
      <w:r w:rsidRPr="00435AFC">
        <w:rPr>
          <w:b/>
        </w:rPr>
        <w:t xml:space="preserve">Reflecting across these two (or four) lenses, what resources and knowledge (e.g., mathematical, cultural, community, family, linguistic, students’ interests, peers) did students, the teacher, or the task use to support learning? </w:t>
      </w:r>
    </w:p>
    <w:p w:rsidR="00F94DEB" w:rsidRPr="00435AFC" w:rsidRDefault="00F94DEB" w:rsidP="00F94DEB">
      <w:pPr>
        <w:numPr>
          <w:ilvl w:val="0"/>
          <w:numId w:val="5"/>
        </w:numPr>
        <w:rPr>
          <w:b/>
        </w:rPr>
      </w:pPr>
      <w:r>
        <w:rPr>
          <w:b/>
        </w:rPr>
        <w:t>What are the similarities and differences in the ways the two (or four) lenses focused your attention on specific aspects of instruction?</w:t>
      </w:r>
    </w:p>
    <w:p w:rsidR="00F94DEB" w:rsidRDefault="00F94DEB" w:rsidP="00F94DEB">
      <w:pPr>
        <w:numPr>
          <w:ilvl w:val="0"/>
          <w:numId w:val="5"/>
        </w:numPr>
      </w:pPr>
      <w:r w:rsidRPr="00435AFC">
        <w:rPr>
          <w:b/>
        </w:rPr>
        <w:t>A goal of this course is for you to consider ways and outcomes for integrating these multiple knowledge bases in mathematics instruction. What are the ways that the teacher and/or students integrated these knowledge bases and resources in instruction?</w:t>
      </w:r>
      <w:r>
        <w:t xml:space="preserve"> (The phrase “integrating multiple knowledge bases” is used for the first time here- in this summary. This prompt serves to pull out and summarize key ideas that may have already been expressed in the discussion of each of the lenses.)</w:t>
      </w:r>
    </w:p>
    <w:p w:rsidR="00F94DEB" w:rsidRDefault="00F94DEB" w:rsidP="00F94DEB">
      <w:pPr>
        <w:numPr>
          <w:ilvl w:val="0"/>
          <w:numId w:val="5"/>
        </w:numPr>
        <w:rPr>
          <w:b/>
        </w:rPr>
      </w:pPr>
      <w:r w:rsidRPr="002C7B87">
        <w:rPr>
          <w:b/>
        </w:rPr>
        <w:t xml:space="preserve">How did the use of these resources influence students’ learning? </w:t>
      </w:r>
      <w:r w:rsidRPr="009B29C2">
        <w:t>(</w:t>
      </w:r>
      <w:r>
        <w:t>Students are likely to mention engagement and motivation first. Work to connect issues of engagement and motivation with learning of important mathematics (i.e., go beyond just making learning fun). Encourage them to think about how using these resources might also influence issues of identity, competence, using mathematics for social justice/ power (critical mathematics), and changing views on the nature and value of mathematics.</w:t>
      </w:r>
    </w:p>
    <w:p w:rsidR="00F94DEB" w:rsidRPr="00597032" w:rsidRDefault="00F94DEB" w:rsidP="00F94DEB">
      <w:pPr>
        <w:numPr>
          <w:ilvl w:val="0"/>
          <w:numId w:val="5"/>
        </w:numPr>
        <w:rPr>
          <w:b/>
        </w:rPr>
      </w:pPr>
      <w:r w:rsidRPr="00783293">
        <w:rPr>
          <w:b/>
        </w:rPr>
        <w:t>What are other opportunities or ways that the teacher and/or students might have integrated students’ knowledge bases and resources in this lesson? Why might you choose to pursue these alternative</w:t>
      </w:r>
      <w:r>
        <w:rPr>
          <w:b/>
        </w:rPr>
        <w:t>s</w:t>
      </w:r>
      <w:r w:rsidRPr="00783293">
        <w:rPr>
          <w:b/>
        </w:rPr>
        <w:t xml:space="preserve"> (or why not)?</w:t>
      </w:r>
      <w:r>
        <w:rPr>
          <w:b/>
        </w:rPr>
        <w:t xml:space="preserve"> </w:t>
      </w:r>
      <w:r w:rsidRPr="009B29C2">
        <w:t>(</w:t>
      </w:r>
      <w:r>
        <w:t>This question is not intended to generate negative criticism about what the teacher did, but instead is aimed at considering alternative approaches and what they might afford for learning, challenges in implementing, etc.)</w:t>
      </w:r>
    </w:p>
    <w:p w:rsidR="00F94DEB" w:rsidRPr="00435AFC" w:rsidRDefault="00F94DEB" w:rsidP="00F94DEB"/>
    <w:p w:rsidR="00F94DEB" w:rsidRDefault="00F94DEB" w:rsidP="00F94DEB">
      <w:pPr>
        <w:rPr>
          <w:b/>
        </w:rPr>
      </w:pPr>
      <w:r>
        <w:rPr>
          <w:b/>
        </w:rPr>
        <w:t>INSTRUCTOR REFLECTIONS</w:t>
      </w:r>
    </w:p>
    <w:p w:rsidR="00F94DEB" w:rsidRPr="00045384" w:rsidRDefault="00F94DEB" w:rsidP="00F94DEB">
      <w:r>
        <w:t>Use your reflections to guide how you support PSTs in future activities and discussions.</w:t>
      </w:r>
    </w:p>
    <w:p w:rsidR="00F94DEB" w:rsidRDefault="00F94DEB" w:rsidP="00F94DEB">
      <w:pPr>
        <w:numPr>
          <w:ilvl w:val="0"/>
          <w:numId w:val="6"/>
        </w:numPr>
        <w:rPr>
          <w:color w:val="000000"/>
        </w:rPr>
      </w:pPr>
      <w:r>
        <w:t xml:space="preserve">What kinds of things do PSTs tend to notice about students’ strategies and mathematical thinking? </w:t>
      </w:r>
      <w:r>
        <w:rPr>
          <w:color w:val="000000"/>
        </w:rPr>
        <w:t xml:space="preserve">How do they attend to / respond to strategies and/or algorithms that may be unfamiliar and/or unexpected? What do they notice about the nuances of students’ strategies? (In other words, what do they </w:t>
      </w:r>
      <w:r w:rsidRPr="00A453BD">
        <w:rPr>
          <w:color w:val="000000"/>
          <w:u w:val="single"/>
        </w:rPr>
        <w:t>attend</w:t>
      </w:r>
      <w:r>
        <w:rPr>
          <w:color w:val="000000"/>
        </w:rPr>
        <w:t xml:space="preserve"> to? And in what detail do they attend to students’ mathematical thinking?)  </w:t>
      </w:r>
    </w:p>
    <w:p w:rsidR="00F94DEB" w:rsidRDefault="00F94DEB" w:rsidP="00F94DEB">
      <w:pPr>
        <w:numPr>
          <w:ilvl w:val="0"/>
          <w:numId w:val="6"/>
        </w:numPr>
        <w:rPr>
          <w:color w:val="000000"/>
        </w:rPr>
      </w:pPr>
      <w:r>
        <w:rPr>
          <w:color w:val="000000"/>
        </w:rPr>
        <w:t xml:space="preserve">What kinds of things are absent in PSTs’ comments and/or written reports? (In other words, what are they </w:t>
      </w:r>
      <w:r w:rsidRPr="00A453BD">
        <w:rPr>
          <w:color w:val="000000"/>
          <w:u w:val="single"/>
        </w:rPr>
        <w:t>not attending</w:t>
      </w:r>
      <w:r>
        <w:rPr>
          <w:color w:val="000000"/>
        </w:rPr>
        <w:t xml:space="preserve"> to or what details are they missing?)</w:t>
      </w:r>
    </w:p>
    <w:p w:rsidR="00F94DEB" w:rsidRDefault="00F94DEB" w:rsidP="00F94DEB">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t xml:space="preserve">In general, </w:t>
      </w:r>
      <w:r>
        <w:rPr>
          <w:color w:val="000000"/>
        </w:rPr>
        <w:t xml:space="preserve">what kinds of things do PSTs tend to notice about students?  What kinds of competencies did they notice? What kinds of participation did they notice? What did they notice about students’ interactions with their peers? (In other words, what do they </w:t>
      </w:r>
      <w:r w:rsidRPr="00A453BD">
        <w:rPr>
          <w:color w:val="000000"/>
          <w:u w:val="single"/>
        </w:rPr>
        <w:t>attend</w:t>
      </w:r>
      <w:r>
        <w:rPr>
          <w:color w:val="000000"/>
        </w:rPr>
        <w:t xml:space="preserve"> to?)  </w:t>
      </w:r>
    </w:p>
    <w:p w:rsidR="00F94DEB" w:rsidRDefault="00F94DEB" w:rsidP="00F94DEB">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Pr>
          <w:color w:val="000000"/>
        </w:rPr>
        <w:t xml:space="preserve">What kinds of things are absent in PSTs’ comments and/or written reports? (In other words, what are they </w:t>
      </w:r>
      <w:r w:rsidRPr="00A453BD">
        <w:rPr>
          <w:color w:val="000000"/>
          <w:u w:val="single"/>
        </w:rPr>
        <w:t>not attending</w:t>
      </w:r>
      <w:r>
        <w:rPr>
          <w:color w:val="000000"/>
        </w:rPr>
        <w:t xml:space="preserve"> to?)</w:t>
      </w:r>
    </w:p>
    <w:p w:rsidR="00F94DEB" w:rsidRDefault="00F94DEB" w:rsidP="00F94DEB">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Pr>
          <w:color w:val="000000"/>
        </w:rPr>
        <w:t xml:space="preserve">What meaning or value do they seem to assign to the ways in which students participate, the nature of their social interactions, the range of skills and competencies they demonstrate (including those that may not typically be seen as relevant to mathematics? </w:t>
      </w:r>
    </w:p>
    <w:p w:rsidR="00F94DEB" w:rsidRDefault="00F94DEB" w:rsidP="00F94DEB">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Pr>
          <w:color w:val="000000"/>
        </w:rPr>
        <w:t xml:space="preserve">How are PSTs positioning students’ out of school knowledge and experiences? What meaning or value do they seem to assign to mathematical activity in students’ homes or communities? (In other words, what kinds of </w:t>
      </w:r>
      <w:r w:rsidRPr="00A453BD">
        <w:rPr>
          <w:color w:val="000000"/>
          <w:u w:val="single"/>
        </w:rPr>
        <w:t>awareness</w:t>
      </w:r>
      <w:r>
        <w:rPr>
          <w:color w:val="000000"/>
        </w:rPr>
        <w:t xml:space="preserve"> do you notice?)</w:t>
      </w:r>
    </w:p>
    <w:p w:rsidR="00F94DEB" w:rsidRDefault="00F94DEB" w:rsidP="00F94DEB">
      <w:pPr>
        <w:rPr>
          <w:b/>
        </w:rPr>
      </w:pPr>
    </w:p>
    <w:p w:rsidR="00F94DEB" w:rsidRDefault="00F94DEB" w:rsidP="00F94DEB">
      <w:pPr>
        <w:jc w:val="center"/>
        <w:rPr>
          <w:b/>
        </w:rPr>
      </w:pPr>
    </w:p>
    <w:p w:rsidR="00F94DEB" w:rsidRDefault="00F94DEB" w:rsidP="00F94DEB">
      <w:pPr>
        <w:rPr>
          <w:b/>
        </w:rPr>
      </w:pPr>
      <w:r>
        <w:rPr>
          <w:b/>
        </w:rPr>
        <w:br w:type="page"/>
      </w:r>
    </w:p>
    <w:p w:rsidR="00F94DEB" w:rsidRDefault="00F94DEB" w:rsidP="00F94DEB">
      <w:pPr>
        <w:rPr>
          <w:b/>
          <w:u w:val="single"/>
        </w:rPr>
      </w:pPr>
      <w:r>
        <w:rPr>
          <w:b/>
          <w:u w:val="single"/>
        </w:rPr>
        <w:t xml:space="preserve">Ideas from TEACH Math </w:t>
      </w:r>
    </w:p>
    <w:p w:rsidR="00F94DEB" w:rsidRDefault="00F94DEB" w:rsidP="00F94DEB">
      <w:pPr>
        <w:pStyle w:val="ListParagraph"/>
        <w:numPr>
          <w:ilvl w:val="0"/>
          <w:numId w:val="8"/>
        </w:numPr>
      </w:pPr>
      <w:r>
        <w:rPr>
          <w:i/>
        </w:rPr>
        <w:t xml:space="preserve">Incorporating Additional Instructional Goals: </w:t>
      </w:r>
      <w:r w:rsidRPr="00E168B9">
        <w:t xml:space="preserve">In an examination of our own practice with respect to launching the video analysis in our mathematics methods courses (Roth McDuffie et al., 2014), we have found that we often used the Launch of a particular video as a place to incorporate other instructional goals – goals that complement the project goals planned for the video analysis activity. In this way, we could incorporate the video analysis activity while attending to existing instructional goals, rather than simply adding one more activity to an already packed methods course. For example, at times we have engaged PSTs in the mathematics of the </w:t>
      </w:r>
      <w:r w:rsidRPr="00BD2859">
        <w:rPr>
          <w:i/>
        </w:rPr>
        <w:t>Marshmallow</w:t>
      </w:r>
      <w:r w:rsidRPr="00E168B9">
        <w:t xml:space="preserve"> video by giving them marshmallows and having them do the mathematics task, attending to the mathematics content and processes entailed in the problem. Doing this early in the semester can support the goal of disrupting PSTs’ views about mathematics consisting only of procedures and may serve as a place to connect to the content and practice standards in the Common Core. As another example, with the </w:t>
      </w:r>
      <w:r w:rsidRPr="00BD2859">
        <w:rPr>
          <w:i/>
        </w:rPr>
        <w:t>Developing Children’s Conceptions of Equality</w:t>
      </w:r>
      <w:r w:rsidRPr="00E168B9">
        <w:t xml:space="preserve"> video, we have used that video to attend to both the multiple lenses and toward a goal of PSTs exploring the mathematics related to equations and the idea of relational thinking in particular, which was then focused on in more depth within the lesson. Or, we provide the task (8 + 4 = ___ + 5) with the goal of supporting PSTs in anticipating students’ thinking, asking PSTs to predict student responses and confusions prior to watching the video.</w:t>
      </w:r>
    </w:p>
    <w:p w:rsidR="00F94DEB" w:rsidRDefault="00F94DEB" w:rsidP="00F94DEB">
      <w:pPr>
        <w:pStyle w:val="ListParagraph"/>
        <w:numPr>
          <w:ilvl w:val="0"/>
          <w:numId w:val="8"/>
        </w:numPr>
      </w:pPr>
      <w:r>
        <w:rPr>
          <w:i/>
        </w:rPr>
        <w:t>Importance of Repeated Enactments</w:t>
      </w:r>
      <w:r>
        <w:t>: As noted in the overview, we have found that it is very important to enact this activity multiple times over the course of the semester, providing PSTs with opportunities to view instructional through different lenses over time and to improve their noticing skills.</w:t>
      </w:r>
    </w:p>
    <w:p w:rsidR="00F94DEB" w:rsidRDefault="00F94DEB" w:rsidP="00F94DEB">
      <w:pPr>
        <w:pStyle w:val="ListParagraph"/>
        <w:numPr>
          <w:ilvl w:val="0"/>
          <w:numId w:val="8"/>
        </w:numPr>
      </w:pPr>
      <w:r>
        <w:rPr>
          <w:i/>
        </w:rPr>
        <w:t>One Lens</w:t>
      </w:r>
      <w:r>
        <w:t>: While we most often use two or four lenses as a class to view video, we have also at times had the whole class use just one lens to view and analyze video. This allows for an in-depth discussion of the lens and can be particularly useful for lenses that PSTs are struggling to use.</w:t>
      </w:r>
    </w:p>
    <w:p w:rsidR="00F94DEB" w:rsidRDefault="00F94DEB" w:rsidP="00F94DEB">
      <w:pPr>
        <w:pStyle w:val="ListParagraph"/>
        <w:numPr>
          <w:ilvl w:val="0"/>
          <w:numId w:val="8"/>
        </w:numPr>
      </w:pPr>
      <w:r>
        <w:rPr>
          <w:i/>
        </w:rPr>
        <w:t>Written Cases</w:t>
      </w:r>
      <w:r w:rsidRPr="00BD2859">
        <w:t>:</w:t>
      </w:r>
      <w:r>
        <w:t xml:space="preserve"> At some sites, these lenses have also been productively used for PSTs to analyze written cases of instruction.</w:t>
      </w:r>
    </w:p>
    <w:p w:rsidR="00F94DEB" w:rsidRPr="00E168B9" w:rsidRDefault="00F94DEB" w:rsidP="00F94DEB">
      <w:pPr>
        <w:pStyle w:val="ListParagraph"/>
        <w:numPr>
          <w:ilvl w:val="0"/>
          <w:numId w:val="8"/>
        </w:numPr>
      </w:pPr>
      <w:r>
        <w:rPr>
          <w:i/>
        </w:rPr>
        <w:t>Handout CP 7</w:t>
      </w:r>
      <w:r>
        <w:t>: In several of our courses, we have found this handout useful for focusing PSTs’ attention on particular discourse and questioning moves. It can also be useful for Activity 4, later in the module.</w:t>
      </w:r>
    </w:p>
    <w:p w:rsidR="00F94DEB" w:rsidRDefault="00F94DEB" w:rsidP="00F94DEB">
      <w:pPr>
        <w:rPr>
          <w:b/>
          <w:u w:val="single"/>
        </w:rPr>
      </w:pPr>
    </w:p>
    <w:p w:rsidR="00F94DEB" w:rsidRDefault="00F94DEB" w:rsidP="00F94DEB">
      <w:pPr>
        <w:rPr>
          <w:b/>
          <w:u w:val="single"/>
        </w:rPr>
      </w:pPr>
    </w:p>
    <w:p w:rsidR="00F94DEB" w:rsidRDefault="00F94DEB" w:rsidP="00F94DEB">
      <w:pPr>
        <w:rPr>
          <w:b/>
          <w:u w:val="single"/>
        </w:rPr>
      </w:pPr>
      <w:r>
        <w:rPr>
          <w:b/>
          <w:u w:val="single"/>
        </w:rPr>
        <w:t xml:space="preserve">Additional Resources </w:t>
      </w:r>
    </w:p>
    <w:p w:rsidR="00F94DEB" w:rsidRDefault="00F94DEB" w:rsidP="00F94DEB">
      <w:pPr>
        <w:autoSpaceDE w:val="0"/>
        <w:autoSpaceDN w:val="0"/>
        <w:adjustRightInd w:val="0"/>
        <w:rPr>
          <w:rFonts w:cs="OptimaLTStd"/>
        </w:rPr>
      </w:pPr>
      <w:r w:rsidRPr="009B29C2">
        <w:rPr>
          <w:rFonts w:cs="OptimaLTStd"/>
        </w:rPr>
        <w:t>Aguirre, J., Turner, E., Bartell, T. G., Drake, C., Foote, M.</w:t>
      </w:r>
      <w:r>
        <w:rPr>
          <w:rFonts w:cs="OptimaLTStd"/>
        </w:rPr>
        <w:t xml:space="preserve"> Q., &amp; Roth McDuffi</w:t>
      </w:r>
      <w:r w:rsidRPr="009B29C2">
        <w:rPr>
          <w:rFonts w:cs="OptimaLTStd"/>
        </w:rPr>
        <w:t xml:space="preserve">e, A. </w:t>
      </w:r>
    </w:p>
    <w:p w:rsidR="00F94DEB" w:rsidRDefault="00F94DEB" w:rsidP="00F94DEB">
      <w:pPr>
        <w:autoSpaceDE w:val="0"/>
        <w:autoSpaceDN w:val="0"/>
        <w:adjustRightInd w:val="0"/>
        <w:ind w:left="720"/>
        <w:rPr>
          <w:rFonts w:cs="OptimaLTStd"/>
        </w:rPr>
      </w:pPr>
      <w:r w:rsidRPr="009B29C2">
        <w:rPr>
          <w:rFonts w:cs="OptimaLTStd"/>
        </w:rPr>
        <w:t xml:space="preserve">(2012). Analyzing effective mathematics lessons for English learners: A multiple mathematical lens approach. In S. Celedón-Pattichis &amp; N. Ramirez (Eds.), </w:t>
      </w:r>
      <w:r w:rsidRPr="009B29C2">
        <w:rPr>
          <w:rFonts w:cs="OptimaLTStd-Italic"/>
          <w:i/>
          <w:iCs/>
        </w:rPr>
        <w:t xml:space="preserve">Beyond good teaching: Advancing mathematics education for ELLs </w:t>
      </w:r>
      <w:r w:rsidRPr="009B29C2">
        <w:rPr>
          <w:rFonts w:cs="OptimaLTStd"/>
        </w:rPr>
        <w:t>(pp. 207</w:t>
      </w:r>
      <w:r w:rsidRPr="009B29C2">
        <w:rPr>
          <w:rFonts w:cs="OptimaLTStd-Medium"/>
        </w:rPr>
        <w:t>–</w:t>
      </w:r>
      <w:r w:rsidRPr="009B29C2">
        <w:rPr>
          <w:rFonts w:cs="OptimaLTStd"/>
        </w:rPr>
        <w:t>222). Reston, VA: National Council of Teachers of Mathematics.</w:t>
      </w:r>
    </w:p>
    <w:p w:rsidR="00F94DEB" w:rsidRDefault="00F94DEB" w:rsidP="00F94DEB">
      <w:pPr>
        <w:autoSpaceDE w:val="0"/>
        <w:autoSpaceDN w:val="0"/>
        <w:adjustRightInd w:val="0"/>
        <w:rPr>
          <w:rFonts w:cs="OptimaLTStd"/>
        </w:rPr>
      </w:pPr>
      <w:r>
        <w:rPr>
          <w:rFonts w:cs="OptimaLTStd"/>
        </w:rPr>
        <w:t xml:space="preserve">Roth McDuffie, A., Foote, M.Q., Bolson, C., Turner, E.E., Aguirre, J.M., Bartell, T.G., Drake, C., &amp; </w:t>
      </w:r>
    </w:p>
    <w:p w:rsidR="00F94DEB" w:rsidRPr="000E62D4" w:rsidRDefault="00F94DEB" w:rsidP="00F94DEB">
      <w:pPr>
        <w:autoSpaceDE w:val="0"/>
        <w:autoSpaceDN w:val="0"/>
        <w:adjustRightInd w:val="0"/>
        <w:ind w:left="720"/>
        <w:rPr>
          <w:rFonts w:cs="OptimaLTStd"/>
        </w:rPr>
      </w:pPr>
      <w:r>
        <w:rPr>
          <w:rFonts w:cs="OptimaLTStd"/>
        </w:rPr>
        <w:t xml:space="preserve">Land, T. (2014). Using video analysis to support prospective K-8 teachers’ noticing of students’ multiple mathematical knowledge bases. </w:t>
      </w:r>
      <w:r>
        <w:rPr>
          <w:rFonts w:cs="OptimaLTStd"/>
          <w:i/>
        </w:rPr>
        <w:t>Journal of Mathematics Teacher Education 17</w:t>
      </w:r>
      <w:r>
        <w:rPr>
          <w:rFonts w:cs="OptimaLTStd"/>
        </w:rPr>
        <w:t>(3), 245-258.</w:t>
      </w:r>
    </w:p>
    <w:p w:rsidR="00F94DEB" w:rsidRDefault="00F94DEB" w:rsidP="00F94DEB">
      <w:pPr>
        <w:pStyle w:val="CommentText"/>
      </w:pPr>
      <w:r>
        <w:t xml:space="preserve">Roth McDuffie, A., Foote, M. Q., Drake, C., Turner, E., Aguirre, J., Bartell, T. G. &amp; </w:t>
      </w:r>
    </w:p>
    <w:p w:rsidR="00F94DEB" w:rsidRDefault="00F94DEB" w:rsidP="00F94DEB">
      <w:pPr>
        <w:pStyle w:val="CommentText"/>
        <w:ind w:left="720"/>
      </w:pPr>
      <w:r>
        <w:t xml:space="preserve">Bolson, C. (2014). Use of video analysis to support prospective K-8 teachers’ noticing of equitable practices. </w:t>
      </w:r>
      <w:r>
        <w:rPr>
          <w:i/>
        </w:rPr>
        <w:t>Mathematics Teacher Educator, 2</w:t>
      </w:r>
      <w:r>
        <w:t>(2), 108-140.</w:t>
      </w:r>
    </w:p>
    <w:p w:rsidR="00F94DEB" w:rsidRDefault="00F94DEB" w:rsidP="00F94DEB">
      <w:r w:rsidRPr="00103B82">
        <w:t xml:space="preserve">Sherin, M. G., &amp; Han, S. Y. (2004). Teacher learning in the context of a video club. </w:t>
      </w:r>
    </w:p>
    <w:p w:rsidR="00F94DEB" w:rsidRDefault="00F94DEB" w:rsidP="00F94DEB">
      <w:r>
        <w:tab/>
      </w:r>
      <w:r w:rsidRPr="00103B82">
        <w:rPr>
          <w:i/>
          <w:iCs/>
        </w:rPr>
        <w:t>Teaching and Teacher Education, 20</w:t>
      </w:r>
      <w:r w:rsidRPr="00103B82">
        <w:t>, 163-183.</w:t>
      </w:r>
    </w:p>
    <w:p w:rsidR="00F94DEB" w:rsidRDefault="00F94DEB" w:rsidP="00F94DEB">
      <w:pPr>
        <w:rPr>
          <w:bCs/>
        </w:rPr>
      </w:pPr>
      <w:r>
        <w:t xml:space="preserve">VanZoest, L. &amp; Stockero, S., (2008). </w:t>
      </w:r>
      <w:r>
        <w:rPr>
          <w:bCs/>
        </w:rPr>
        <w:t xml:space="preserve">Using a video-case curriculum to develop </w:t>
      </w:r>
    </w:p>
    <w:p w:rsidR="00F94DEB" w:rsidRDefault="00F94DEB" w:rsidP="00F94DEB">
      <w:pPr>
        <w:rPr>
          <w:bCs/>
        </w:rPr>
      </w:pPr>
      <w:r>
        <w:rPr>
          <w:bCs/>
        </w:rPr>
        <w:tab/>
        <w:t xml:space="preserve">preservice teachers’ knowledge and skills. In M. Smith, S. Friel, &amp; D. </w:t>
      </w:r>
    </w:p>
    <w:p w:rsidR="00F94DEB" w:rsidRDefault="00F94DEB" w:rsidP="00F94DEB">
      <w:pPr>
        <w:rPr>
          <w:bCs/>
          <w:i/>
        </w:rPr>
      </w:pPr>
      <w:r>
        <w:rPr>
          <w:bCs/>
        </w:rPr>
        <w:tab/>
        <w:t xml:space="preserve">Thompson (Eds.) </w:t>
      </w:r>
      <w:r>
        <w:rPr>
          <w:bCs/>
          <w:i/>
        </w:rPr>
        <w:t xml:space="preserve">Cases in mathematics teacher education: Tools for </w:t>
      </w:r>
    </w:p>
    <w:p w:rsidR="00F94DEB" w:rsidRDefault="00F94DEB" w:rsidP="00F94DEB">
      <w:pPr>
        <w:rPr>
          <w:bCs/>
        </w:rPr>
      </w:pPr>
      <w:r>
        <w:rPr>
          <w:bCs/>
          <w:i/>
        </w:rPr>
        <w:tab/>
        <w:t xml:space="preserve">developing knowledge needed for teaching </w:t>
      </w:r>
      <w:r>
        <w:rPr>
          <w:bCs/>
        </w:rPr>
        <w:t xml:space="preserve">(Association of Mathematics </w:t>
      </w:r>
    </w:p>
    <w:p w:rsidR="00F94DEB" w:rsidRDefault="00F94DEB" w:rsidP="00F94DEB">
      <w:pPr>
        <w:rPr>
          <w:bCs/>
        </w:rPr>
      </w:pPr>
      <w:r>
        <w:rPr>
          <w:bCs/>
        </w:rPr>
        <w:tab/>
        <w:t xml:space="preserve">Teacher Educators Monograph No. 4., pp. 117-132). San Diego, CA : </w:t>
      </w:r>
    </w:p>
    <w:p w:rsidR="00F94DEB" w:rsidRPr="003C4D21" w:rsidRDefault="00F94DEB" w:rsidP="00F94DEB">
      <w:r>
        <w:rPr>
          <w:bCs/>
        </w:rPr>
        <w:tab/>
        <w:t>Association of Mathematics Teacher Educators.</w:t>
      </w:r>
    </w:p>
    <w:p w:rsidR="00F94DEB" w:rsidRDefault="00F94DEB" w:rsidP="00F94DEB">
      <w:pPr>
        <w:rPr>
          <w:b/>
          <w:u w:val="single"/>
        </w:rPr>
      </w:pPr>
    </w:p>
    <w:p w:rsidR="002232E8" w:rsidRDefault="002232E8"/>
    <w:sectPr w:rsidR="002232E8" w:rsidSect="00B42FEE">
      <w:headerReference w:type="default" r:id="rId8"/>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4DEB" w:rsidRDefault="00F94DEB" w:rsidP="00F94DEB">
      <w:r>
        <w:separator/>
      </w:r>
    </w:p>
  </w:endnote>
  <w:endnote w:type="continuationSeparator" w:id="0">
    <w:p w:rsidR="00F94DEB" w:rsidRDefault="00F94DEB" w:rsidP="00F94D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OptimaLTStd">
    <w:altName w:val="Cambria"/>
    <w:panose1 w:val="00000000000000000000"/>
    <w:charset w:val="00"/>
    <w:family w:val="swiss"/>
    <w:notTrueType/>
    <w:pitch w:val="default"/>
    <w:sig w:usb0="00000003" w:usb1="00000000" w:usb2="00000000" w:usb3="00000000" w:csb0="00000001" w:csb1="00000000"/>
  </w:font>
  <w:font w:name="OptimaLTStd-Italic">
    <w:altName w:val="Cambria"/>
    <w:panose1 w:val="00000000000000000000"/>
    <w:charset w:val="00"/>
    <w:family w:val="swiss"/>
    <w:notTrueType/>
    <w:pitch w:val="default"/>
    <w:sig w:usb0="00000003" w:usb1="00000000" w:usb2="00000000" w:usb3="00000000" w:csb0="00000001" w:csb1="00000000"/>
  </w:font>
  <w:font w:name="OptimaLTStd-Medium">
    <w:altName w:val="Cambria"/>
    <w:panose1 w:val="00000000000000000000"/>
    <w:charset w:val="00"/>
    <w:family w:val="swiss"/>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DEB" w:rsidRDefault="00F94DEB" w:rsidP="00D73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94DEB" w:rsidRDefault="00F94DE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DEB" w:rsidRDefault="00F94DEB" w:rsidP="00D73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F94DEB" w:rsidRDefault="00F94DE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4DEB" w:rsidRDefault="00F94DEB" w:rsidP="00F94DEB">
      <w:r>
        <w:separator/>
      </w:r>
    </w:p>
  </w:footnote>
  <w:footnote w:type="continuationSeparator" w:id="0">
    <w:p w:rsidR="00F94DEB" w:rsidRDefault="00F94DEB" w:rsidP="00F94DE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DEB" w:rsidRDefault="00F94DEB" w:rsidP="00F94DEB">
    <w:pPr>
      <w:pStyle w:val="Header"/>
    </w:pPr>
    <w:r>
      <w:t>Classroom Practices Module</w:t>
    </w:r>
  </w:p>
  <w:p w:rsidR="00F94DEB" w:rsidRDefault="00F94DE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335DB9"/>
    <w:multiLevelType w:val="hybridMultilevel"/>
    <w:tmpl w:val="BD24C066"/>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01">
      <w:start w:val="1"/>
      <w:numFmt w:val="bullet"/>
      <w:lvlText w:val=""/>
      <w:lvlJc w:val="left"/>
      <w:pPr>
        <w:tabs>
          <w:tab w:val="num" w:pos="-360"/>
        </w:tabs>
        <w:ind w:left="-360" w:hanging="360"/>
      </w:pPr>
      <w:rPr>
        <w:rFonts w:ascii="Symbol" w:hAnsi="Symbol" w:hint="default"/>
      </w:rPr>
    </w:lvl>
    <w:lvl w:ilvl="3" w:tplc="0409000F">
      <w:start w:val="1"/>
      <w:numFmt w:val="decimal"/>
      <w:lvlText w:val="%4."/>
      <w:lvlJc w:val="left"/>
      <w:pPr>
        <w:tabs>
          <w:tab w:val="num" w:pos="-360"/>
        </w:tabs>
        <w:ind w:left="-360" w:hanging="360"/>
      </w:pPr>
      <w:rPr>
        <w:rFonts w:hint="default"/>
      </w:rPr>
    </w:lvl>
    <w:lvl w:ilvl="4" w:tplc="04090001">
      <w:start w:val="1"/>
      <w:numFmt w:val="bullet"/>
      <w:lvlText w:val=""/>
      <w:lvlJc w:val="left"/>
      <w:pPr>
        <w:tabs>
          <w:tab w:val="num" w:pos="2520"/>
        </w:tabs>
        <w:ind w:left="2520" w:hanging="360"/>
      </w:pPr>
      <w:rPr>
        <w:rFonts w:ascii="Symbol" w:hAnsi="Symbol" w:hint="default"/>
      </w:rPr>
    </w:lvl>
    <w:lvl w:ilvl="5" w:tplc="04090005">
      <w:start w:val="1"/>
      <w:numFmt w:val="decimal"/>
      <w:lvlText w:val="%6."/>
      <w:lvlJc w:val="left"/>
      <w:pPr>
        <w:tabs>
          <w:tab w:val="num" w:pos="3240"/>
        </w:tabs>
        <w:ind w:left="3240" w:hanging="360"/>
      </w:pPr>
    </w:lvl>
    <w:lvl w:ilvl="6" w:tplc="04090001">
      <w:start w:val="1"/>
      <w:numFmt w:val="decimal"/>
      <w:lvlText w:val="%7."/>
      <w:lvlJc w:val="left"/>
      <w:pPr>
        <w:tabs>
          <w:tab w:val="num" w:pos="3960"/>
        </w:tabs>
        <w:ind w:left="3960" w:hanging="360"/>
      </w:pPr>
    </w:lvl>
    <w:lvl w:ilvl="7" w:tplc="04090003">
      <w:start w:val="1"/>
      <w:numFmt w:val="decimal"/>
      <w:lvlText w:val="%8."/>
      <w:lvlJc w:val="left"/>
      <w:pPr>
        <w:tabs>
          <w:tab w:val="num" w:pos="4680"/>
        </w:tabs>
        <w:ind w:left="4680" w:hanging="360"/>
      </w:pPr>
    </w:lvl>
    <w:lvl w:ilvl="8" w:tplc="04090005">
      <w:start w:val="1"/>
      <w:numFmt w:val="decimal"/>
      <w:lvlText w:val="%9."/>
      <w:lvlJc w:val="left"/>
      <w:pPr>
        <w:tabs>
          <w:tab w:val="num" w:pos="5400"/>
        </w:tabs>
        <w:ind w:left="5400" w:hanging="360"/>
      </w:pPr>
    </w:lvl>
  </w:abstractNum>
  <w:abstractNum w:abstractNumId="1">
    <w:nsid w:val="23785BB0"/>
    <w:multiLevelType w:val="hybridMultilevel"/>
    <w:tmpl w:val="8A0ED156"/>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
    <w:nsid w:val="30E63576"/>
    <w:multiLevelType w:val="hybridMultilevel"/>
    <w:tmpl w:val="60285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17E5EBA"/>
    <w:multiLevelType w:val="hybridMultilevel"/>
    <w:tmpl w:val="BDC26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980B4F"/>
    <w:multiLevelType w:val="hybridMultilevel"/>
    <w:tmpl w:val="21285E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BFD08A4"/>
    <w:multiLevelType w:val="hybridMultilevel"/>
    <w:tmpl w:val="68A2A9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CAC6137"/>
    <w:multiLevelType w:val="hybridMultilevel"/>
    <w:tmpl w:val="7C4023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nsid w:val="7CB87EA4"/>
    <w:multiLevelType w:val="hybridMultilevel"/>
    <w:tmpl w:val="408C9F9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4"/>
  </w:num>
  <w:num w:numId="2">
    <w:abstractNumId w:val="6"/>
  </w:num>
  <w:num w:numId="3">
    <w:abstractNumId w:val="7"/>
  </w:num>
  <w:num w:numId="4">
    <w:abstractNumId w:val="1"/>
  </w:num>
  <w:num w:numId="5">
    <w:abstractNumId w:val="0"/>
  </w:num>
  <w:num w:numId="6">
    <w:abstractNumId w:val="5"/>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DEB"/>
    <w:rsid w:val="002232E8"/>
    <w:rsid w:val="00B42FEE"/>
    <w:rsid w:val="00F94D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0D00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D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nhideWhenUsed/>
    <w:rsid w:val="00F94DEB"/>
  </w:style>
  <w:style w:type="character" w:customStyle="1" w:styleId="CommentTextChar">
    <w:name w:val="Comment Text Char"/>
    <w:basedOn w:val="DefaultParagraphFont"/>
    <w:link w:val="CommentText"/>
    <w:rsid w:val="00F94DEB"/>
  </w:style>
  <w:style w:type="paragraph" w:styleId="ListParagraph">
    <w:name w:val="List Paragraph"/>
    <w:basedOn w:val="Normal"/>
    <w:uiPriority w:val="34"/>
    <w:qFormat/>
    <w:rsid w:val="00F94DEB"/>
    <w:pPr>
      <w:ind w:left="720"/>
      <w:contextualSpacing/>
    </w:pPr>
  </w:style>
  <w:style w:type="paragraph" w:styleId="Header">
    <w:name w:val="header"/>
    <w:basedOn w:val="Normal"/>
    <w:link w:val="HeaderChar"/>
    <w:uiPriority w:val="99"/>
    <w:unhideWhenUsed/>
    <w:rsid w:val="00F94DEB"/>
    <w:pPr>
      <w:tabs>
        <w:tab w:val="center" w:pos="4320"/>
        <w:tab w:val="right" w:pos="8640"/>
      </w:tabs>
    </w:pPr>
  </w:style>
  <w:style w:type="character" w:customStyle="1" w:styleId="HeaderChar">
    <w:name w:val="Header Char"/>
    <w:basedOn w:val="DefaultParagraphFont"/>
    <w:link w:val="Header"/>
    <w:uiPriority w:val="99"/>
    <w:rsid w:val="00F94DEB"/>
  </w:style>
  <w:style w:type="paragraph" w:styleId="Footer">
    <w:name w:val="footer"/>
    <w:basedOn w:val="Normal"/>
    <w:link w:val="FooterChar"/>
    <w:uiPriority w:val="99"/>
    <w:unhideWhenUsed/>
    <w:rsid w:val="00F94DEB"/>
    <w:pPr>
      <w:tabs>
        <w:tab w:val="center" w:pos="4320"/>
        <w:tab w:val="right" w:pos="8640"/>
      </w:tabs>
    </w:pPr>
  </w:style>
  <w:style w:type="character" w:customStyle="1" w:styleId="FooterChar">
    <w:name w:val="Footer Char"/>
    <w:basedOn w:val="DefaultParagraphFont"/>
    <w:link w:val="Footer"/>
    <w:uiPriority w:val="99"/>
    <w:rsid w:val="00F94DEB"/>
  </w:style>
  <w:style w:type="character" w:styleId="PageNumber">
    <w:name w:val="page number"/>
    <w:basedOn w:val="DefaultParagraphFont"/>
    <w:uiPriority w:val="99"/>
    <w:semiHidden/>
    <w:unhideWhenUsed/>
    <w:rsid w:val="00F94DE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D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nhideWhenUsed/>
    <w:rsid w:val="00F94DEB"/>
  </w:style>
  <w:style w:type="character" w:customStyle="1" w:styleId="CommentTextChar">
    <w:name w:val="Comment Text Char"/>
    <w:basedOn w:val="DefaultParagraphFont"/>
    <w:link w:val="CommentText"/>
    <w:rsid w:val="00F94DEB"/>
  </w:style>
  <w:style w:type="paragraph" w:styleId="ListParagraph">
    <w:name w:val="List Paragraph"/>
    <w:basedOn w:val="Normal"/>
    <w:uiPriority w:val="34"/>
    <w:qFormat/>
    <w:rsid w:val="00F94DEB"/>
    <w:pPr>
      <w:ind w:left="720"/>
      <w:contextualSpacing/>
    </w:pPr>
  </w:style>
  <w:style w:type="paragraph" w:styleId="Header">
    <w:name w:val="header"/>
    <w:basedOn w:val="Normal"/>
    <w:link w:val="HeaderChar"/>
    <w:uiPriority w:val="99"/>
    <w:unhideWhenUsed/>
    <w:rsid w:val="00F94DEB"/>
    <w:pPr>
      <w:tabs>
        <w:tab w:val="center" w:pos="4320"/>
        <w:tab w:val="right" w:pos="8640"/>
      </w:tabs>
    </w:pPr>
  </w:style>
  <w:style w:type="character" w:customStyle="1" w:styleId="HeaderChar">
    <w:name w:val="Header Char"/>
    <w:basedOn w:val="DefaultParagraphFont"/>
    <w:link w:val="Header"/>
    <w:uiPriority w:val="99"/>
    <w:rsid w:val="00F94DEB"/>
  </w:style>
  <w:style w:type="paragraph" w:styleId="Footer">
    <w:name w:val="footer"/>
    <w:basedOn w:val="Normal"/>
    <w:link w:val="FooterChar"/>
    <w:uiPriority w:val="99"/>
    <w:unhideWhenUsed/>
    <w:rsid w:val="00F94DEB"/>
    <w:pPr>
      <w:tabs>
        <w:tab w:val="center" w:pos="4320"/>
        <w:tab w:val="right" w:pos="8640"/>
      </w:tabs>
    </w:pPr>
  </w:style>
  <w:style w:type="character" w:customStyle="1" w:styleId="FooterChar">
    <w:name w:val="Footer Char"/>
    <w:basedOn w:val="DefaultParagraphFont"/>
    <w:link w:val="Footer"/>
    <w:uiPriority w:val="99"/>
    <w:rsid w:val="00F94DEB"/>
  </w:style>
  <w:style w:type="character" w:styleId="PageNumber">
    <w:name w:val="page number"/>
    <w:basedOn w:val="DefaultParagraphFont"/>
    <w:uiPriority w:val="99"/>
    <w:semiHidden/>
    <w:unhideWhenUsed/>
    <w:rsid w:val="00F94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2463</Words>
  <Characters>14044</Characters>
  <Application>Microsoft Macintosh Word</Application>
  <DocSecurity>0</DocSecurity>
  <Lines>117</Lines>
  <Paragraphs>32</Paragraphs>
  <ScaleCrop>false</ScaleCrop>
  <Company/>
  <LinksUpToDate>false</LinksUpToDate>
  <CharactersWithSpaces>16475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 Harper</dc:creator>
  <cp:keywords/>
  <dc:description/>
  <cp:lastModifiedBy>Frances Harper</cp:lastModifiedBy>
  <cp:revision>1</cp:revision>
  <dcterms:created xsi:type="dcterms:W3CDTF">2016-03-10T16:17:00Z</dcterms:created>
  <dcterms:modified xsi:type="dcterms:W3CDTF">2016-03-10T16:20:00Z</dcterms:modified>
</cp:coreProperties>
</file>